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440B13" w:rsidRDefault="00C15B37" w:rsidP="004E66BD">
      <w:pPr>
        <w:pStyle w:val="a9"/>
        <w:jc w:val="center"/>
        <w:rPr>
          <w:rStyle w:val="a5"/>
          <w:rFonts w:ascii="Times New Roman" w:hAnsi="Times New Roman" w:cs="Times New Roman"/>
          <w:sz w:val="28"/>
          <w:szCs w:val="28"/>
          <w:lang w:val="en-US"/>
        </w:rPr>
      </w:pPr>
      <w:r w:rsidRPr="00C15B37">
        <w:rPr>
          <w:rFonts w:ascii="Times New Roman" w:hAnsi="Times New Roman"/>
          <w:b/>
          <w:sz w:val="28"/>
          <w:szCs w:val="28"/>
          <w:lang w:eastAsia="ru-RU"/>
        </w:rPr>
        <w:t xml:space="preserve">способом запроса ценовых </w:t>
      </w:r>
      <w:proofErr w:type="gramStart"/>
      <w:r w:rsidRPr="00C15B37">
        <w:rPr>
          <w:rFonts w:ascii="Times New Roman" w:hAnsi="Times New Roman"/>
          <w:b/>
          <w:sz w:val="28"/>
          <w:szCs w:val="28"/>
          <w:lang w:eastAsia="ru-RU"/>
        </w:rPr>
        <w:t>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proofErr w:type="gramEnd"/>
      <w:r w:rsidR="00440B13">
        <w:rPr>
          <w:rStyle w:val="a5"/>
          <w:rFonts w:ascii="Times New Roman" w:hAnsi="Times New Roman" w:cs="Times New Roman"/>
          <w:sz w:val="28"/>
          <w:szCs w:val="28"/>
          <w:lang w:val="en-US"/>
        </w:rPr>
        <w:t>6</w:t>
      </w:r>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440B13" w:rsidRPr="00440B13">
        <w:rPr>
          <w:rFonts w:ascii="Times New Roman" w:hAnsi="Times New Roman" w:cs="Times New Roman"/>
          <w:b/>
          <w:sz w:val="20"/>
          <w:szCs w:val="20"/>
        </w:rPr>
        <w:t xml:space="preserve">19 </w:t>
      </w:r>
      <w:r w:rsidR="00440B13">
        <w:rPr>
          <w:rFonts w:ascii="Times New Roman" w:hAnsi="Times New Roman" w:cs="Times New Roman"/>
          <w:b/>
          <w:sz w:val="20"/>
          <w:szCs w:val="20"/>
          <w:lang w:val="kk-KZ"/>
        </w:rPr>
        <w:t>апреля</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BF2574" w:rsidRPr="00BF2574">
        <w:rPr>
          <w:rFonts w:ascii="Times New Roman" w:hAnsi="Times New Roman" w:cs="Times New Roman"/>
          <w:b/>
          <w:sz w:val="20"/>
          <w:szCs w:val="20"/>
          <w:lang w:eastAsia="ru-RU"/>
        </w:rPr>
        <w:t>20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440B13">
        <w:rPr>
          <w:rFonts w:ascii="Times New Roman" w:hAnsi="Times New Roman" w:cs="Times New Roman"/>
          <w:b/>
          <w:sz w:val="20"/>
          <w:szCs w:val="20"/>
          <w:lang w:val="kk-KZ" w:eastAsia="ru-RU"/>
        </w:rPr>
        <w:t>19 апреля</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w:t>
      </w:r>
      <w:bookmarkStart w:id="0" w:name="_GoBack"/>
      <w:bookmarkEnd w:id="0"/>
      <w:r w:rsidRPr="00221176">
        <w:rPr>
          <w:rFonts w:ascii="Times New Roman" w:hAnsi="Times New Roman" w:cs="Times New Roman"/>
          <w:sz w:val="20"/>
          <w:szCs w:val="20"/>
        </w:rPr>
        <w:t xml:space="preserve">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81A69"/>
    <w:rsid w:val="003A318D"/>
    <w:rsid w:val="003B76B2"/>
    <w:rsid w:val="003C016C"/>
    <w:rsid w:val="00440B13"/>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A635E"/>
    <w:rsid w:val="00BC0146"/>
    <w:rsid w:val="00BC793D"/>
    <w:rsid w:val="00BF2574"/>
    <w:rsid w:val="00C15B37"/>
    <w:rsid w:val="00C351C7"/>
    <w:rsid w:val="00C4528F"/>
    <w:rsid w:val="00C55825"/>
    <w:rsid w:val="00C60798"/>
    <w:rsid w:val="00CA6590"/>
    <w:rsid w:val="00CD7EDD"/>
    <w:rsid w:val="00CF66BB"/>
    <w:rsid w:val="00D05703"/>
    <w:rsid w:val="00D166D9"/>
    <w:rsid w:val="00D660DC"/>
    <w:rsid w:val="00DE4195"/>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3FAA"/>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2018-02-21T08:04:00Z</cp:lastPrinted>
  <dcterms:created xsi:type="dcterms:W3CDTF">2023-03-06T06:32:00Z</dcterms:created>
  <dcterms:modified xsi:type="dcterms:W3CDTF">2023-04-13T11:23:00Z</dcterms:modified>
</cp:coreProperties>
</file>