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14B" w:rsidRDefault="00A8214B" w:rsidP="00A8214B">
      <w:pPr>
        <w:pStyle w:val="a5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A8214B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A821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214B">
        <w:rPr>
          <w:rFonts w:ascii="Times New Roman" w:hAnsi="Times New Roman" w:cs="Times New Roman"/>
          <w:sz w:val="20"/>
          <w:szCs w:val="20"/>
        </w:rPr>
        <w:t>Республикасы</w:t>
      </w:r>
      <w:proofErr w:type="spellEnd"/>
      <w:r w:rsidRPr="00A8214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8214B" w:rsidRDefault="00A8214B" w:rsidP="00A8214B">
      <w:pPr>
        <w:pStyle w:val="a5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A8214B">
        <w:rPr>
          <w:rFonts w:ascii="Times New Roman" w:hAnsi="Times New Roman" w:cs="Times New Roman"/>
          <w:sz w:val="20"/>
          <w:szCs w:val="20"/>
        </w:rPr>
        <w:t>Денсаулық</w:t>
      </w:r>
      <w:proofErr w:type="spellEnd"/>
      <w:r w:rsidRPr="00A821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214B">
        <w:rPr>
          <w:rFonts w:ascii="Times New Roman" w:hAnsi="Times New Roman" w:cs="Times New Roman"/>
          <w:sz w:val="20"/>
          <w:szCs w:val="20"/>
        </w:rPr>
        <w:t>сақтау</w:t>
      </w:r>
      <w:proofErr w:type="spellEnd"/>
      <w:r w:rsidRPr="00A821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214B">
        <w:rPr>
          <w:rFonts w:ascii="Times New Roman" w:hAnsi="Times New Roman" w:cs="Times New Roman"/>
          <w:sz w:val="20"/>
          <w:szCs w:val="20"/>
        </w:rPr>
        <w:t>министрі</w:t>
      </w:r>
      <w:proofErr w:type="gramStart"/>
      <w:r w:rsidRPr="00A8214B">
        <w:rPr>
          <w:rFonts w:ascii="Times New Roman" w:hAnsi="Times New Roman" w:cs="Times New Roman"/>
          <w:sz w:val="20"/>
          <w:szCs w:val="20"/>
        </w:rPr>
        <w:t>н</w:t>
      </w:r>
      <w:proofErr w:type="gramEnd"/>
      <w:r w:rsidRPr="00A8214B">
        <w:rPr>
          <w:rFonts w:ascii="Times New Roman" w:hAnsi="Times New Roman" w:cs="Times New Roman"/>
          <w:sz w:val="20"/>
          <w:szCs w:val="20"/>
        </w:rPr>
        <w:t>ің</w:t>
      </w:r>
      <w:proofErr w:type="spellEnd"/>
      <w:r w:rsidRPr="00A8214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8214B" w:rsidRDefault="00A8214B" w:rsidP="00A8214B">
      <w:pPr>
        <w:pStyle w:val="a5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A8214B">
        <w:rPr>
          <w:rFonts w:ascii="Times New Roman" w:hAnsi="Times New Roman" w:cs="Times New Roman"/>
          <w:sz w:val="20"/>
          <w:szCs w:val="20"/>
          <w:lang w:val="kk-KZ"/>
        </w:rPr>
        <w:t xml:space="preserve">м.а. 2020 жылғы 15 қазандағы </w:t>
      </w:r>
    </w:p>
    <w:p w:rsidR="0052592B" w:rsidRDefault="00A8214B" w:rsidP="00A8214B">
      <w:pPr>
        <w:pStyle w:val="a5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A8214B">
        <w:rPr>
          <w:rFonts w:ascii="Times New Roman" w:hAnsi="Times New Roman" w:cs="Times New Roman"/>
          <w:sz w:val="20"/>
          <w:szCs w:val="20"/>
          <w:lang w:val="kk-KZ"/>
        </w:rPr>
        <w:t>№ ҚР ДСМ-131/2020 бұйрығы.</w:t>
      </w:r>
    </w:p>
    <w:p w:rsidR="00A8214B" w:rsidRPr="00A8214B" w:rsidRDefault="00A8214B" w:rsidP="00A8214B">
      <w:pPr>
        <w:pStyle w:val="a5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123082" w:rsidRDefault="00A8214B" w:rsidP="002E173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A8214B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>"</w:t>
      </w:r>
      <w:bookmarkStart w:id="0" w:name="_GoBack"/>
      <w:r w:rsidRPr="00A8214B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>Алдын ала міндетті медициналық қарап-тексеруден өту</w:t>
      </w:r>
      <w:bookmarkEnd w:id="0"/>
      <w:r w:rsidRPr="00A8214B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>" мемлекеттік көрсетілетін қызмет стандарты</w:t>
      </w:r>
    </w:p>
    <w:p w:rsidR="00A8214B" w:rsidRPr="00A8214B" w:rsidRDefault="00A8214B" w:rsidP="002E1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4275"/>
        <w:gridCol w:w="5528"/>
      </w:tblGrid>
      <w:tr w:rsidR="00A8214B" w:rsidRPr="00A8214B" w:rsidTr="00836C6C">
        <w:trPr>
          <w:trHeight w:val="366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214B" w:rsidRPr="00A8214B" w:rsidRDefault="00A8214B" w:rsidP="00A821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214B" w:rsidRPr="00A8214B" w:rsidRDefault="00A8214B" w:rsidP="00A821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55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214B" w:rsidRPr="00A8214B" w:rsidRDefault="00A8214B" w:rsidP="00A821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ұйымдар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бұдан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8214B" w:rsidRPr="000E75B1" w:rsidTr="00836C6C">
        <w:trPr>
          <w:trHeight w:val="60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214B" w:rsidRPr="00A8214B" w:rsidRDefault="00A8214B" w:rsidP="00A821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214B" w:rsidRPr="00A8214B" w:rsidRDefault="00A8214B" w:rsidP="00A821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өрсетілетін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тәсілдері</w:t>
            </w:r>
            <w:proofErr w:type="spellEnd"/>
          </w:p>
        </w:tc>
        <w:tc>
          <w:tcPr>
            <w:tcW w:w="55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214B" w:rsidRPr="00A8214B" w:rsidRDefault="00A8214B" w:rsidP="00A821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br/>
              <w:t>2) "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gram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імет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" веб-порталы</w:t>
            </w:r>
          </w:p>
        </w:tc>
      </w:tr>
      <w:tr w:rsidR="00A8214B" w:rsidRPr="000E75B1" w:rsidTr="00836C6C">
        <w:trPr>
          <w:trHeight w:val="597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214B" w:rsidRPr="00A8214B" w:rsidRDefault="00A8214B" w:rsidP="00A821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214B" w:rsidRPr="00A8214B" w:rsidRDefault="00A8214B" w:rsidP="00A821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мерзі</w:t>
            </w:r>
            <w:proofErr w:type="gram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55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214B" w:rsidRPr="00A8214B" w:rsidRDefault="00A8214B" w:rsidP="00A821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Құжаттарды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күтудің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ұқсат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етілген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ұзақ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уақыты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- 1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</w:p>
        </w:tc>
      </w:tr>
      <w:tr w:rsidR="00A8214B" w:rsidRPr="000E75B1" w:rsidTr="00836C6C">
        <w:trPr>
          <w:trHeight w:val="64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214B" w:rsidRPr="00A8214B" w:rsidRDefault="00A8214B" w:rsidP="00A821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214B" w:rsidRPr="00A8214B" w:rsidRDefault="00A8214B" w:rsidP="00A821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нысаны</w:t>
            </w:r>
            <w:proofErr w:type="spellEnd"/>
          </w:p>
        </w:tc>
        <w:tc>
          <w:tcPr>
            <w:tcW w:w="55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214B" w:rsidRPr="00A8214B" w:rsidRDefault="00A8214B" w:rsidP="00A821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ішінара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автоматтандырылған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інде</w:t>
            </w:r>
            <w:proofErr w:type="spellEnd"/>
          </w:p>
        </w:tc>
      </w:tr>
      <w:tr w:rsidR="00A8214B" w:rsidRPr="000E75B1" w:rsidTr="00836C6C">
        <w:trPr>
          <w:trHeight w:val="2834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214B" w:rsidRPr="00A8214B" w:rsidRDefault="00A8214B" w:rsidP="00A821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214B" w:rsidRPr="00A8214B" w:rsidRDefault="00A8214B" w:rsidP="00A821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нәтижесі</w:t>
            </w:r>
            <w:proofErr w:type="spellEnd"/>
          </w:p>
        </w:tc>
        <w:tc>
          <w:tcPr>
            <w:tcW w:w="55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214B" w:rsidRPr="00A8214B" w:rsidRDefault="00A8214B" w:rsidP="00A821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саласындағы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есепке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құжаттамасының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нысандарын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министрінің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міндетін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атқарушының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2020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қазандағы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№ Қ</w:t>
            </w:r>
            <w:proofErr w:type="gram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ДСМ-175/2020 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8214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"https://adilet.zan.kz/kaz/docs/V2000021579" \l "z2" </w:instrText>
            </w:r>
            <w:r w:rsidRPr="00A8214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8214B">
              <w:rPr>
                <w:rStyle w:val="a3"/>
                <w:rFonts w:ascii="Times New Roman" w:hAnsi="Times New Roman" w:cs="Times New Roman"/>
                <w:color w:val="073A5E"/>
                <w:spacing w:val="2"/>
                <w:sz w:val="24"/>
                <w:szCs w:val="24"/>
              </w:rPr>
              <w:t>бұйрығымен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Нормативтік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актілерді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тіркеу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тізілімінде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№ 21579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тіркелген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бекітілген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№ 075/е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нысаны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дәрігерлік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әсіби-консультациялық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) не осы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Стандарттың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9-тармағында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негіздер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көрсетуден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тарту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дәлелді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214B" w:rsidRPr="000E75B1" w:rsidTr="00836C6C">
        <w:trPr>
          <w:trHeight w:val="177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214B" w:rsidRPr="00A8214B" w:rsidRDefault="00A8214B" w:rsidP="00A821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214B" w:rsidRPr="00A8214B" w:rsidRDefault="00A8214B" w:rsidP="00A821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алушыдан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тө</w:t>
            </w:r>
            <w:proofErr w:type="gram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лем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өлшері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заңнамасында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көзделген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жағдайларда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тәсілдері</w:t>
            </w:r>
            <w:proofErr w:type="spellEnd"/>
          </w:p>
        </w:tc>
        <w:tc>
          <w:tcPr>
            <w:tcW w:w="55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214B" w:rsidRPr="00A8214B" w:rsidRDefault="00A8214B" w:rsidP="00A821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Ақылы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негізде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құны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Кодекстің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5" w:anchor="z2709" w:history="1">
              <w:r w:rsidRPr="00A8214B">
                <w:rPr>
                  <w:rStyle w:val="a3"/>
                  <w:rFonts w:ascii="Times New Roman" w:hAnsi="Times New Roman" w:cs="Times New Roman"/>
                  <w:color w:val="073A5E"/>
                  <w:spacing w:val="2"/>
                  <w:sz w:val="24"/>
                  <w:szCs w:val="24"/>
                </w:rPr>
                <w:t>202-бабына</w:t>
              </w:r>
            </w:hyperlink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proofErr w:type="gram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қындалады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214B" w:rsidRPr="000E75B1" w:rsidTr="00836C6C">
        <w:trPr>
          <w:trHeight w:val="92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214B" w:rsidRPr="00A8214B" w:rsidRDefault="00A8214B" w:rsidP="00A821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214B" w:rsidRPr="00A8214B" w:rsidRDefault="00A8214B" w:rsidP="00A821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ұмыс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</w:p>
        </w:tc>
        <w:tc>
          <w:tcPr>
            <w:tcW w:w="55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214B" w:rsidRPr="00A8214B" w:rsidRDefault="00A8214B" w:rsidP="00A821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белгіленген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кестесіне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демалыс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мереке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күндерінен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дүйсенбіден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жұма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аралығында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214B" w:rsidRPr="000E75B1" w:rsidTr="00836C6C">
        <w:trPr>
          <w:trHeight w:val="178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214B" w:rsidRPr="00A8214B" w:rsidRDefault="00A8214B" w:rsidP="00A821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214B" w:rsidRPr="00A8214B" w:rsidRDefault="00A8214B" w:rsidP="00A821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құжаттардың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тізбесі</w:t>
            </w:r>
            <w:proofErr w:type="spellEnd"/>
          </w:p>
        </w:tc>
        <w:tc>
          <w:tcPr>
            <w:tcW w:w="55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214B" w:rsidRPr="00A8214B" w:rsidRDefault="00A8214B" w:rsidP="00A821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басын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куәландыратын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цифрлық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сервисінен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сәйкестендіру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басын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сәйкестендіру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етіледі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A821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көрсеткені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төлемді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растайтын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21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Жеке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куәландыратын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мәліметтерді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үкімет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" веб-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порталында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тіркелген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пайдаланушының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ұялы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байланысының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абоненттік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нөмі</w:t>
            </w:r>
            <w:proofErr w:type="gram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иесінің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келісімі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үкімет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" веб-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порталының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хабарламасына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реттік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парольді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әтіндік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хабарлама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іске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асырылған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интеграция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цифрлық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сервисінен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сәйкестендіру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214B" w:rsidRPr="000E75B1" w:rsidTr="00836C6C">
        <w:trPr>
          <w:trHeight w:val="243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214B" w:rsidRPr="00A8214B" w:rsidRDefault="00A8214B" w:rsidP="00A821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2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214B" w:rsidRPr="00A8214B" w:rsidRDefault="00A8214B" w:rsidP="00A821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заңнамасында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белгіленген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өрсетілетін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көрсетуден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тарту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негіздер</w:t>
            </w:r>
            <w:proofErr w:type="spellEnd"/>
          </w:p>
        </w:tc>
        <w:tc>
          <w:tcPr>
            <w:tcW w:w="55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214B" w:rsidRPr="00A8214B" w:rsidRDefault="00A8214B" w:rsidP="00A821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ұсынған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құжаттардың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оларда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қамтылған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деректердің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мәліметтердің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дәйексіздігінің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анықталуы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821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материалдардың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объектілердің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деректер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мәліметтердің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осы</w:t>
            </w:r>
            <w:proofErr w:type="gram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Қағидаларда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белгіленген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талаптарға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келмеуі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214B" w:rsidRPr="000E75B1" w:rsidTr="00836C6C">
        <w:trPr>
          <w:trHeight w:val="6027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214B" w:rsidRPr="00A8214B" w:rsidRDefault="00A8214B" w:rsidP="00A821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214B" w:rsidRPr="00A8214B" w:rsidRDefault="00A8214B" w:rsidP="00A821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ескеріле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қойылатын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өзге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55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214B" w:rsidRPr="00A8214B" w:rsidRDefault="00A8214B" w:rsidP="00A821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тікелей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жүгінген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бекіткен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ігерлердің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кестесіне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дәрігерлердің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бос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уақытын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рентгенологиялық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флюорографиялық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зертханалық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зерттеулерді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21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орынның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жағдайларын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порталда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тіркелген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ұялы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байланыстың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абоненттік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нөмірі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өрсетілетін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портал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хабарламасына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реттік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пароль беру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мәтіндік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хабарлама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нысанда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бар.</w:t>
            </w:r>
            <w:r w:rsidRPr="00A821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ЭЦҚ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өрсетілетін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портал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нысанда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бар.</w:t>
            </w:r>
            <w:r w:rsidRPr="00A821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мүмкіндіктері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шектеулі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пандус,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түймесі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Зағиптар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нашар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көретіндерге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тактильді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күту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залы,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тағандар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21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анықтамалық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қызметтерінде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"1414", 8-800-080-7777</w:t>
            </w:r>
            <w:proofErr w:type="gram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ірыңғай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орталығында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көрсетудің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тәртібі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мәртебесі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proofErr w:type="gram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A8214B">
              <w:rPr>
                <w:rFonts w:ascii="Times New Roman" w:hAnsi="Times New Roman" w:cs="Times New Roman"/>
                <w:sz w:val="24"/>
                <w:szCs w:val="24"/>
              </w:rPr>
              <w:t xml:space="preserve"> бар.</w:t>
            </w:r>
          </w:p>
        </w:tc>
      </w:tr>
    </w:tbl>
    <w:p w:rsidR="00123082" w:rsidRPr="000E75B1" w:rsidRDefault="00123082" w:rsidP="002E1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739" w:rsidRPr="000E75B1" w:rsidRDefault="002E1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E1739" w:rsidRPr="000E75B1" w:rsidSect="0012308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97"/>
    <w:rsid w:val="000E75B1"/>
    <w:rsid w:val="00123082"/>
    <w:rsid w:val="002E1739"/>
    <w:rsid w:val="004214F1"/>
    <w:rsid w:val="00465419"/>
    <w:rsid w:val="0052592B"/>
    <w:rsid w:val="00585897"/>
    <w:rsid w:val="00836C6C"/>
    <w:rsid w:val="00A8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21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4F1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0E7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214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5">
    <w:name w:val="No Spacing"/>
    <w:uiPriority w:val="1"/>
    <w:qFormat/>
    <w:rsid w:val="00A821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21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4F1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0E7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214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5">
    <w:name w:val="No Spacing"/>
    <w:uiPriority w:val="1"/>
    <w:qFormat/>
    <w:rsid w:val="00A821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K20000003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ggg ggg</cp:lastModifiedBy>
  <cp:revision>2</cp:revision>
  <dcterms:created xsi:type="dcterms:W3CDTF">2022-06-23T17:52:00Z</dcterms:created>
  <dcterms:modified xsi:type="dcterms:W3CDTF">2022-06-23T17:52:00Z</dcterms:modified>
</cp:coreProperties>
</file>